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6A1E42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802541">
        <w:rPr>
          <w:rFonts w:ascii="Times New Roman" w:hAnsi="Times New Roman" w:cs="Times New Roman"/>
          <w:sz w:val="28"/>
          <w:szCs w:val="28"/>
        </w:rPr>
        <w:t>округа</w:t>
      </w:r>
      <w:r w:rsidRPr="006A1E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D15CC" w:rsidRPr="006A1E42" w:rsidRDefault="009D15CC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6A1E42" w:rsidRDefault="006A1E42" w:rsidP="006A1E42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О выполнении районной целевой муниципальной программы</w:t>
      </w:r>
    </w:p>
    <w:p w:rsidR="000B69F4" w:rsidRDefault="006A1E42" w:rsidP="006358D4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«Развитие культуры в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на 2019-2024 годы»</w:t>
      </w:r>
      <w:r w:rsidR="000B69F4" w:rsidRP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2020</w:t>
      </w:r>
      <w:proofErr w:type="gramEnd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</w:p>
    <w:p w:rsidR="006A1E42" w:rsidRPr="00514535" w:rsidRDefault="006A1E42" w:rsidP="006A1E42">
      <w:pPr>
        <w:pStyle w:val="a4"/>
        <w:jc w:val="center"/>
        <w:rPr>
          <w:rFonts w:ascii="Times New Roman" w:hAnsi="Times New Roman" w:cs="Times New Roman"/>
          <w:sz w:val="24"/>
          <w:szCs w:val="24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Федеральным Законом № 131 от 06.10.2003 «Об общих принципах организации местного самоуправления в Российской Федерации»; постановлением администрации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Ставропольского края от 03 июня 2013 г. № 342 «Об утверждении Порядка разработки, реализации и оценки эффективности муниципальных программ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Ставропольского края в соответствующей сфере деятельности»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Администрацией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Ставропольского края постановлением от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27 декаб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я 2018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г. за №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744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утверждена муниципальная программа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Ставропольского края «Развитие культуры в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Арзгирском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на 2019-2024 годы»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», которая вступила в силу с 01 января 201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Общие положения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Данная целевая программа соответствует социально-экономическим приоритетам Российской Федерации, а её выполнение на территории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района ведёт к выполнению основных направлений подпрограммы «Культура» на 2016-2021г.г, государственной программы "Культура и туристско-рекреационный комплекс», утвержденной постановлением Правительства Ставропольского края от 24 декабря 2015 г. № 569-п "Об утверждении государственной программы Ставропольского края "Культура и туристско-рекреационный комплекс».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6179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Финансовое обеспечение</w:t>
      </w:r>
    </w:p>
    <w:p w:rsidR="006A1E42" w:rsidRPr="009D15CC" w:rsidRDefault="006A1E42" w:rsidP="006A1E42">
      <w:pPr>
        <w:pStyle w:val="a4"/>
        <w:jc w:val="center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Объём финансирования, п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редусмотренный программой на 2020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 составляет </w:t>
      </w:r>
      <w:r w:rsidR="002710F9">
        <w:rPr>
          <w:rFonts w:ascii="Times New Roman" w:hAnsi="Times New Roman" w:cs="Times New Roman"/>
          <w:color w:val="000000"/>
          <w:sz w:val="28"/>
          <w:szCs w:val="28"/>
        </w:rPr>
        <w:t>42903,13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тыс. 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лей. Фактические расходы за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B69F4" w:rsidRPr="006A1E42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proofErr w:type="gram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 мероприятий программы составили </w:t>
      </w:r>
      <w:r w:rsidR="002710F9">
        <w:rPr>
          <w:rFonts w:ascii="Times New Roman" w:hAnsi="Times New Roman" w:cs="Times New Roman"/>
          <w:color w:val="000000"/>
          <w:sz w:val="28"/>
          <w:szCs w:val="28"/>
        </w:rPr>
        <w:t>42903,13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ыс. рублей,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100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% к объёму финансирования. 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3. Основные мероприятия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Основными мероприятиями программы являются: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Организация культурно-досуговой деятельности;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системы библиотечного и информационного обслуживания населения;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- Развитие дополнительного образования детей и взрослых в области искусств;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Обеспечение реализации муниципальной программы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района Ставропольского края «Развитие культуры в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Арзгирском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муниципальном районе</w:t>
      </w:r>
      <w:r w:rsidR="000B69F4">
        <w:rPr>
          <w:rFonts w:ascii="Times New Roman" w:hAnsi="Times New Roman" w:cs="Times New Roman"/>
          <w:color w:val="000000"/>
          <w:sz w:val="28"/>
          <w:szCs w:val="28"/>
        </w:rPr>
        <w:t xml:space="preserve"> на 2019-2024 годы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» и обще программные мероприятия.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Целевыми индикаторами мероприятия «Организация культурно-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досуговой деятельности» являются: количество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кл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убных формирований. В течение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года продолжили свою работу 18 клубных формирований, что на 100 % соответствует планируемым показателям. Вторым целевым индикатором является сохранение численности культурно-досуговых мероприятий. Планируемое количество – 150 мероприятий, фактически проведено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за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473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150</w:t>
      </w:r>
      <w:r w:rsidR="00DB51D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для различных категорий.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Целевыми индикаторами мероприятия «Развитие системы библиотечного и информационного обслуживания населения» являются: количество пользователей библиотечных услуг. Плановая цифра данного индикатора составляет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13510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. За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 xml:space="preserve">2020 </w:t>
      </w:r>
      <w:proofErr w:type="gramStart"/>
      <w:r w:rsidR="001A2BB4" w:rsidRPr="006A1E42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 w:rsidRPr="006A1E42">
        <w:rPr>
          <w:rFonts w:ascii="Times New Roman" w:hAnsi="Times New Roman" w:cs="Times New Roman"/>
          <w:color w:val="000000"/>
          <w:sz w:val="28"/>
          <w:szCs w:val="28"/>
        </w:rPr>
        <w:t>зарегистрировано</w:t>
      </w:r>
      <w:proofErr w:type="gram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13508</w:t>
      </w:r>
      <w:r w:rsidR="00C857FA">
        <w:rPr>
          <w:rFonts w:ascii="Times New Roman" w:hAnsi="Times New Roman" w:cs="Times New Roman"/>
          <w:color w:val="000000"/>
          <w:sz w:val="28"/>
          <w:szCs w:val="28"/>
        </w:rPr>
        <w:t xml:space="preserve"> пользовател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 Второй индикатор «Охват населения библиотечным обслуживанием» составляет 49 %, что является 100% выполнением плана. Третий индикатор «Число выданных изданий библиотечного фонда»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A2BB4">
        <w:rPr>
          <w:rFonts w:ascii="Times New Roman" w:hAnsi="Times New Roman" w:cs="Times New Roman"/>
          <w:color w:val="000000"/>
          <w:sz w:val="28"/>
          <w:szCs w:val="28"/>
        </w:rPr>
        <w:t xml:space="preserve">год </w:t>
      </w:r>
      <w:r w:rsidR="001A2BB4" w:rsidRPr="006A1E42">
        <w:rPr>
          <w:rFonts w:ascii="Times New Roman" w:hAnsi="Times New Roman" w:cs="Times New Roman"/>
          <w:color w:val="000000"/>
          <w:sz w:val="28"/>
          <w:szCs w:val="28"/>
        </w:rPr>
        <w:t>составляет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313275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экземпляров при планируемом 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313280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Целевыми индикаторами мероприятия «Развитие дополнительного образования детей и взрослых в области искусств» являются: доля детей, охваченных дополнительным образованием в общей численности детей в возрасте 5-18 лет. Данный индикатор выполняется на 100 % и составляет 5,07 % от населения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района данной возрастной категории. Следующий индикатор данного мероприятия «Достижения обучающихся в конкурсных мероприятиях» выполнен на 100%.</w:t>
      </w:r>
    </w:p>
    <w:p w:rsidR="00CD0C57" w:rsidRDefault="00C857FA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За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2020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145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>финансовые средства направлялись на содержание зданий, отоплени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>е, при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обретение акустической системы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, составление сметной документации </w:t>
      </w:r>
      <w:r w:rsidR="00CD0C57">
        <w:rPr>
          <w:rFonts w:ascii="Times New Roman" w:hAnsi="Times New Roman" w:cs="Times New Roman"/>
          <w:color w:val="000000"/>
          <w:sz w:val="28"/>
          <w:szCs w:val="28"/>
        </w:rPr>
        <w:t>и прохождение государственной экспертизы по капитальному</w:t>
      </w:r>
      <w:r w:rsidR="00FC01B1">
        <w:rPr>
          <w:rFonts w:ascii="Times New Roman" w:hAnsi="Times New Roman" w:cs="Times New Roman"/>
          <w:color w:val="000000"/>
          <w:sz w:val="28"/>
          <w:szCs w:val="28"/>
        </w:rPr>
        <w:t xml:space="preserve"> ремонт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у зданий МБУДО «</w:t>
      </w:r>
      <w:proofErr w:type="spellStart"/>
      <w:r w:rsidR="005C3A1B">
        <w:rPr>
          <w:rFonts w:ascii="Times New Roman" w:hAnsi="Times New Roman" w:cs="Times New Roman"/>
          <w:color w:val="000000"/>
          <w:sz w:val="28"/>
          <w:szCs w:val="28"/>
        </w:rPr>
        <w:t>Арзгирская</w:t>
      </w:r>
      <w:proofErr w:type="spellEnd"/>
      <w:r w:rsidR="005C3A1B">
        <w:rPr>
          <w:rFonts w:ascii="Times New Roman" w:hAnsi="Times New Roman" w:cs="Times New Roman"/>
          <w:color w:val="000000"/>
          <w:sz w:val="28"/>
          <w:szCs w:val="28"/>
        </w:rPr>
        <w:t xml:space="preserve"> ДШИ», с дальнейшим проведением капитального ремонта.</w:t>
      </w:r>
    </w:p>
    <w:p w:rsidR="006A1E42" w:rsidRDefault="001A2BB4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Помимо этого,</w:t>
      </w:r>
      <w:r w:rsidR="006A1E42"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производится закупка канцелярских и хозяйственных товаров, в целях выполнения установленной деятельности и поддержания чистоты и озеленения прилегающих территорий. </w:t>
      </w:r>
    </w:p>
    <w:p w:rsidR="00514535" w:rsidRPr="009D15CC" w:rsidRDefault="00514535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4.Оценка эффективности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Реализация данной программы позволит: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постепенно укрепить и модернизировать материально-техническую базу действующей сети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района;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создать условия для качественного предоставления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района муниципальными учреждениями культуры;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- увеличить посещаемость муниципальных учреждений культуры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Всё это приведёт к созданию условий, обеспечивающих равную доступность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района муниципальными учреждениями культуры района;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повышению качества предоставления муниципальных услуг в области культуры, предоставляемых населению </w:t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района муниципальными учреждениями культуры района;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сохранению и увеличению численности культурно-досуговых мероприятий;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улучшению качества работы клубных формирований;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введению инновационных форм предоставления библиотечных услуг пользователям;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количества экземпляров библиотечного фонда в расчёте на 1 жителя – 6,37 (не менее чем средний показатель по краю);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увеличению доли библиографических записей в электронном каталоге от общего объема библиотечного фонда на 3%;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увеличению доли детей, охваченных дополнительным образованием; 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созданию благоприятных условий по закреплению профессиональной молодёжи для работы в отрасли культуры района – 1 чел. в год;</w:t>
      </w:r>
    </w:p>
    <w:p w:rsidR="006A1E42" w:rsidRDefault="006A1E42" w:rsidP="006A1E4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>проведение методической работы в установленной сфере деятельности, внедрению инновационных форм работы, проведение стажировок, мастер-классов, обобщению передового опыта лучших учреждений культуры района и распространению его в СМИ.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Default="006A1E42" w:rsidP="006A1E42">
      <w:pPr>
        <w:pStyle w:val="a4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Предложения по дальнейшей реализации программы</w:t>
      </w:r>
    </w:p>
    <w:p w:rsidR="006A1E42" w:rsidRPr="009D15CC" w:rsidRDefault="006A1E42" w:rsidP="006A1E42">
      <w:pPr>
        <w:pStyle w:val="a4"/>
        <w:jc w:val="both"/>
        <w:rPr>
          <w:rFonts w:ascii="Times New Roman" w:hAnsi="Times New Roman" w:cs="Times New Roman"/>
          <w:sz w:val="16"/>
          <w:szCs w:val="16"/>
        </w:rPr>
      </w:pP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После завершения капитального ремонта в рамках муниципальных контрактов, возникла необходимость в выполнении работ по благоустройству и отводу ливневых вод на дворовой и прилегающей к зданию районного Дома культуры т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>ерриториях сметной стоимостью 4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699,2 тыс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рублей. В связи с отсутствием обогревательных радиаторов в коридоре 2 этажа РДК необходимо приобрести промышленный мобильный кондиционер 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Russel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-24</w:t>
      </w:r>
      <w:r w:rsidRPr="006A1E42">
        <w:rPr>
          <w:rFonts w:ascii="Times New Roman" w:hAnsi="Times New Roman" w:cs="Times New Roman"/>
          <w:color w:val="000000"/>
          <w:sz w:val="28"/>
          <w:szCs w:val="28"/>
          <w:lang w:val="en-US"/>
        </w:rPr>
        <w:t>H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(д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ля обогрева и охлаждения) 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215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,0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руб.; на выполнение объёма ремонтных работ здания РДК, не вошедших в объемы капитального ремонта 2017-2018г.г. (артистическая, второй санузел, ремонт хозяйственных помещений, ремонт лестничной площадки (клетки) (согласно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сметы) – 1242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>3 тыс.</w:t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Для культурно-досугового </w:t>
      </w:r>
      <w:proofErr w:type="gramStart"/>
      <w:r w:rsidR="00D672D1">
        <w:rPr>
          <w:rFonts w:ascii="Times New Roman" w:hAnsi="Times New Roman" w:cs="Times New Roman"/>
          <w:color w:val="000000"/>
          <w:sz w:val="28"/>
          <w:szCs w:val="28"/>
        </w:rPr>
        <w:t>центра  «</w:t>
      </w:r>
      <w:proofErr w:type="gramEnd"/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Комсомолец» необходимо приобрести оборудование детского игрового зала –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1981,95</w:t>
      </w:r>
      <w:r w:rsidR="008022FD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D672D1">
        <w:rPr>
          <w:rFonts w:ascii="Times New Roman" w:hAnsi="Times New Roman" w:cs="Times New Roman"/>
          <w:color w:val="000000"/>
          <w:sz w:val="28"/>
          <w:szCs w:val="28"/>
        </w:rPr>
        <w:t xml:space="preserve"> руб.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>, а так же проведение капитального ремонта здания кинотеатра «Комсомолец» - 7953,63 тыс. руб. (фасад здания , кабинеты 2 этажа).</w:t>
      </w:r>
    </w:p>
    <w:p w:rsidR="006A1E42" w:rsidRPr="006A1E42" w:rsidRDefault="006A1E42" w:rsidP="006A1E4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A1E42" w:rsidRPr="006A1E42" w:rsidRDefault="006A1E42" w:rsidP="006A1E4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A1E42" w:rsidRPr="00514535" w:rsidRDefault="006A1E42" w:rsidP="006A1E42">
      <w:pPr>
        <w:pStyle w:val="a4"/>
        <w:rPr>
          <w:rFonts w:ascii="Times New Roman" w:hAnsi="Times New Roman" w:cs="Times New Roman"/>
          <w:sz w:val="18"/>
          <w:szCs w:val="18"/>
        </w:rPr>
      </w:pPr>
    </w:p>
    <w:p w:rsidR="005C3A1B" w:rsidRDefault="006A1E42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Начальник </w:t>
      </w:r>
    </w:p>
    <w:p w:rsidR="006A1E42" w:rsidRPr="006E3467" w:rsidRDefault="006A1E42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отдела </w:t>
      </w:r>
      <w:proofErr w:type="gram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культуры </w:t>
      </w:r>
      <w:r w:rsidR="005C3A1B">
        <w:rPr>
          <w:rFonts w:ascii="Times New Roman" w:hAnsi="Times New Roman" w:cs="Times New Roman"/>
          <w:color w:val="000000"/>
          <w:sz w:val="28"/>
          <w:szCs w:val="28"/>
        </w:rPr>
        <w:t xml:space="preserve"> ААМО</w:t>
      </w:r>
      <w:proofErr w:type="gramEnd"/>
      <w:r w:rsidRPr="006A1E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</w:t>
      </w:r>
      <w:r w:rsidR="006E3467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spellStart"/>
      <w:r w:rsidRPr="006A1E42">
        <w:rPr>
          <w:rFonts w:ascii="Times New Roman" w:hAnsi="Times New Roman" w:cs="Times New Roman"/>
          <w:color w:val="000000"/>
          <w:sz w:val="28"/>
          <w:szCs w:val="28"/>
        </w:rPr>
        <w:t>В.В.Комаров</w:t>
      </w:r>
      <w:proofErr w:type="spellEnd"/>
    </w:p>
    <w:p w:rsidR="00D672D1" w:rsidRDefault="00D672D1" w:rsidP="006E3467">
      <w:pPr>
        <w:pStyle w:val="a4"/>
        <w:spacing w:line="240" w:lineRule="exact"/>
        <w:rPr>
          <w:rFonts w:ascii="Times New Roman" w:hAnsi="Times New Roman" w:cs="Times New Roman"/>
          <w:color w:val="000000"/>
          <w:sz w:val="20"/>
          <w:szCs w:val="20"/>
        </w:rPr>
      </w:pPr>
    </w:p>
    <w:p w:rsidR="00D672D1" w:rsidRDefault="00D672D1" w:rsidP="006A1E42">
      <w:pPr>
        <w:pStyle w:val="a4"/>
        <w:rPr>
          <w:rFonts w:ascii="Times New Roman" w:hAnsi="Times New Roman" w:cs="Times New Roman"/>
          <w:color w:val="000000"/>
          <w:sz w:val="20"/>
          <w:szCs w:val="20"/>
        </w:rPr>
      </w:pPr>
    </w:p>
    <w:p w:rsidR="00D672D1" w:rsidRDefault="00D672D1" w:rsidP="006A1E42">
      <w:pPr>
        <w:pStyle w:val="a4"/>
        <w:rPr>
          <w:rFonts w:ascii="Times New Roman" w:hAnsi="Times New Roman" w:cs="Times New Roman"/>
          <w:color w:val="000000"/>
          <w:sz w:val="20"/>
          <w:szCs w:val="20"/>
        </w:rPr>
      </w:pPr>
    </w:p>
    <w:p w:rsidR="00D672D1" w:rsidRDefault="00D672D1" w:rsidP="006A1E42">
      <w:pPr>
        <w:pStyle w:val="a4"/>
        <w:rPr>
          <w:rFonts w:ascii="Times New Roman" w:hAnsi="Times New Roman" w:cs="Times New Roman"/>
          <w:color w:val="000000"/>
          <w:sz w:val="20"/>
          <w:szCs w:val="20"/>
        </w:rPr>
      </w:pPr>
    </w:p>
    <w:p w:rsidR="00FE496A" w:rsidRPr="006A1E42" w:rsidRDefault="006A1E42" w:rsidP="006A1E42">
      <w:pPr>
        <w:pStyle w:val="a4"/>
        <w:rPr>
          <w:rFonts w:ascii="Times New Roman" w:hAnsi="Times New Roman" w:cs="Times New Roman"/>
          <w:sz w:val="20"/>
          <w:szCs w:val="20"/>
        </w:rPr>
      </w:pPr>
      <w:r w:rsidRPr="006A1E42">
        <w:rPr>
          <w:rFonts w:ascii="Times New Roman" w:hAnsi="Times New Roman" w:cs="Times New Roman"/>
          <w:color w:val="000000"/>
          <w:sz w:val="20"/>
          <w:szCs w:val="20"/>
        </w:rPr>
        <w:t>8(86560) 3-14-06</w:t>
      </w:r>
    </w:p>
    <w:sectPr w:rsidR="00FE496A" w:rsidRPr="006A1E42" w:rsidSect="00D672D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96FCD"/>
    <w:multiLevelType w:val="multilevel"/>
    <w:tmpl w:val="646C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8C551E"/>
    <w:multiLevelType w:val="multilevel"/>
    <w:tmpl w:val="6E2045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52D0038"/>
    <w:multiLevelType w:val="multilevel"/>
    <w:tmpl w:val="03DC8B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E42"/>
    <w:rsid w:val="000B69F4"/>
    <w:rsid w:val="001A2BB4"/>
    <w:rsid w:val="002710F9"/>
    <w:rsid w:val="00273E54"/>
    <w:rsid w:val="00514535"/>
    <w:rsid w:val="00551163"/>
    <w:rsid w:val="005C3A1B"/>
    <w:rsid w:val="00617957"/>
    <w:rsid w:val="006358D4"/>
    <w:rsid w:val="00666708"/>
    <w:rsid w:val="006A1E42"/>
    <w:rsid w:val="006E3467"/>
    <w:rsid w:val="008022FD"/>
    <w:rsid w:val="00802541"/>
    <w:rsid w:val="00884FB1"/>
    <w:rsid w:val="009D15CC"/>
    <w:rsid w:val="00A47353"/>
    <w:rsid w:val="00C857FA"/>
    <w:rsid w:val="00CD0C57"/>
    <w:rsid w:val="00D672D1"/>
    <w:rsid w:val="00DB51D0"/>
    <w:rsid w:val="00E54D3D"/>
    <w:rsid w:val="00F36044"/>
    <w:rsid w:val="00F41AFC"/>
    <w:rsid w:val="00FC01B1"/>
    <w:rsid w:val="00FE4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C3E605-A47C-49CE-A48A-1C676D6D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1E4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6A1E4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A2B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A2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3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1030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</dc:creator>
  <cp:keywords/>
  <dc:description/>
  <cp:lastModifiedBy>МБУК_МСКО_Арзгир</cp:lastModifiedBy>
  <cp:revision>15</cp:revision>
  <cp:lastPrinted>2021-01-20T09:22:00Z</cp:lastPrinted>
  <dcterms:created xsi:type="dcterms:W3CDTF">2020-07-06T13:01:00Z</dcterms:created>
  <dcterms:modified xsi:type="dcterms:W3CDTF">2021-01-20T09:23:00Z</dcterms:modified>
</cp:coreProperties>
</file>