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C" w:rsidRDefault="00DB77B1" w:rsidP="00725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2809240</wp:posOffset>
            </wp:positionV>
            <wp:extent cx="3190875" cy="3190875"/>
            <wp:effectExtent l="19050" t="0" r="9525" b="0"/>
            <wp:wrapNone/>
            <wp:docPr id="14" name="Рисунок 2" descr="C:\Users\User\Pictures\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18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6452234</wp:posOffset>
            </wp:positionH>
            <wp:positionV relativeFrom="paragraph">
              <wp:posOffset>189865</wp:posOffset>
            </wp:positionV>
            <wp:extent cx="3286125" cy="2266950"/>
            <wp:effectExtent l="19050" t="0" r="9525" b="0"/>
            <wp:wrapNone/>
            <wp:docPr id="8" name="Рисунок 1" descr="C:\Users\User\Desktop\Udayan-Regmi-copy-1209201708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dayan-Regmi-copy-120920170802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317">
        <w:rPr>
          <w:rFonts w:ascii="Times New Roman" w:hAnsi="Times New Roman" w:cs="Times New Roman"/>
          <w:noProof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55" style="position:absolute;margin-left:391.8pt;margin-top:53.95pt;width:161.25pt;height:121.5pt;rotation:180;z-index:251660288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37DAB" w:rsidRPr="00637DAB" w:rsidRDefault="00637DAB" w:rsidP="00637DAB">
                  <w:pPr>
                    <w:ind w:right="37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37DAB">
                    <w:rPr>
                      <w:rFonts w:ascii="Times New Roman" w:hAnsi="Times New Roman" w:cs="Times New Roman"/>
                      <w:b/>
                    </w:rPr>
                    <w:t xml:space="preserve">В общем объеме производимых на территории района товаров, работ                              и услуг </w:t>
                  </w:r>
                  <w:r w:rsidR="006C5EF1">
                    <w:rPr>
                      <w:rFonts w:ascii="Times New Roman" w:hAnsi="Times New Roman" w:cs="Times New Roman"/>
                      <w:b/>
                    </w:rPr>
                    <w:t xml:space="preserve">более </w:t>
                  </w:r>
                  <w:r w:rsidRPr="00637DAB">
                    <w:rPr>
                      <w:rFonts w:ascii="Times New Roman" w:hAnsi="Times New Roman" w:cs="Times New Roman"/>
                      <w:b/>
                    </w:rPr>
                    <w:t>80% приходится на долю агропромышленного</w:t>
                  </w:r>
                  <w:r w:rsidRPr="00637DAB">
                    <w:rPr>
                      <w:b/>
                    </w:rPr>
                    <w:t xml:space="preserve"> </w:t>
                  </w:r>
                  <w:r w:rsidR="00D8080B" w:rsidRPr="00637DAB">
                    <w:rPr>
                      <w:rFonts w:ascii="Times New Roman" w:hAnsi="Times New Roman" w:cs="Times New Roman"/>
                      <w:b/>
                    </w:rPr>
                    <w:t>комплекса</w:t>
                  </w:r>
                </w:p>
              </w:txbxContent>
            </v:textbox>
          </v:shape>
        </w:pict>
      </w:r>
      <w:r w:rsidR="00F950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19700" cy="2714625"/>
            <wp:effectExtent l="190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403E" w:rsidRDefault="00DB77B1" w:rsidP="00DB77B1">
      <w:pPr>
        <w:tabs>
          <w:tab w:val="left" w:pos="705"/>
          <w:tab w:val="left" w:pos="2415"/>
          <w:tab w:val="right" w:pos="151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3317">
        <w:rPr>
          <w:rFonts w:ascii="Times New Roman" w:hAnsi="Times New Roman" w:cs="Times New Roman"/>
          <w:noProof/>
          <w:lang w:eastAsia="ru-RU"/>
        </w:rPr>
        <w:pict>
          <v:shape id="_x0000_s1028" type="#_x0000_t55" style="position:absolute;margin-left:185.4pt;margin-top:76.55pt;width:180.3pt;height:122.25pt;z-index:251662336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8">
              <w:txbxContent>
                <w:p w:rsidR="008B684F" w:rsidRPr="008B684F" w:rsidRDefault="008B684F" w:rsidP="008B684F">
                  <w:pPr>
                    <w:spacing w:after="0" w:line="240" w:lineRule="auto"/>
                    <w:ind w:left="851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8B684F">
                    <w:rPr>
                      <w:rFonts w:ascii="Times New Roman" w:hAnsi="Times New Roman" w:cs="Times New Roman"/>
                      <w:b/>
                    </w:rPr>
                    <w:t>В прогнозном периоде</w:t>
                  </w:r>
                </w:p>
                <w:p w:rsidR="008B684F" w:rsidRPr="008B684F" w:rsidRDefault="008B684F" w:rsidP="008B684F">
                  <w:pPr>
                    <w:spacing w:after="0" w:line="240" w:lineRule="auto"/>
                    <w:ind w:left="851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8B684F">
                    <w:rPr>
                      <w:rFonts w:ascii="Times New Roman" w:hAnsi="Times New Roman" w:cs="Times New Roman"/>
                      <w:b/>
                    </w:rPr>
                    <w:t>планируется увеличить</w:t>
                  </w:r>
                </w:p>
                <w:p w:rsidR="007C65DA" w:rsidRPr="008B684F" w:rsidRDefault="008B684F" w:rsidP="008B684F">
                  <w:pPr>
                    <w:spacing w:after="0" w:line="240" w:lineRule="auto"/>
                    <w:ind w:left="851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8B684F">
                    <w:rPr>
                      <w:rFonts w:ascii="Times New Roman" w:hAnsi="Times New Roman" w:cs="Times New Roman"/>
                      <w:b/>
                    </w:rPr>
                    <w:t>показатель на 17%                         с ежегодным  приростом до 3%</w:t>
                  </w:r>
                </w:p>
              </w:txbxContent>
            </v:textbox>
          </v:shape>
        </w:pict>
      </w:r>
      <w:r w:rsidR="00442226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514985</wp:posOffset>
            </wp:positionV>
            <wp:extent cx="3063875" cy="2057400"/>
            <wp:effectExtent l="19050" t="0" r="3175" b="0"/>
            <wp:wrapNone/>
            <wp:docPr id="2" name="Рисунок 1" descr="https://pbs.twimg.com/media/EeGO86tWAAA0d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eGO86tWAAA0d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0E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276860</wp:posOffset>
            </wp:positionV>
            <wp:extent cx="2933700" cy="2152650"/>
            <wp:effectExtent l="19050" t="0" r="0" b="0"/>
            <wp:wrapNone/>
            <wp:docPr id="12" name="Рисунок 12" descr="C:\Users\Пигун\Pictures\Home-Improveme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игун\Pictures\Home-Improvement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1CC">
        <w:rPr>
          <w:rFonts w:ascii="Times New Roman" w:hAnsi="Times New Roman" w:cs="Times New Roman"/>
        </w:rPr>
        <w:tab/>
      </w:r>
      <w:r w:rsidR="00637DA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-5644515</wp:posOffset>
            </wp:positionH>
            <wp:positionV relativeFrom="paragraph">
              <wp:posOffset>1957070</wp:posOffset>
            </wp:positionV>
            <wp:extent cx="3590925" cy="2571750"/>
            <wp:effectExtent l="19050" t="0" r="9525" b="0"/>
            <wp:wrapNone/>
            <wp:docPr id="9" name="Рисунок 9" descr="C:\Users\Пигун\Pictures\Home-Improveme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игун\Pictures\Home-Improvement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4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34025" cy="310515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403E" w:rsidRDefault="002D5F3D" w:rsidP="00844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-200660</wp:posOffset>
            </wp:positionV>
            <wp:extent cx="3386455" cy="2257425"/>
            <wp:effectExtent l="19050" t="0" r="4445" b="0"/>
            <wp:wrapNone/>
            <wp:docPr id="18" name="Рисунок 8" descr="https://id-legalgroup.com/upload/images/id_159/nachislenie-i-yplata-avansov-v-razmere-2-9-dlya-kogo-vozniklo-obyazatel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d-legalgroup.com/upload/images/id_159/nachislenie-i-yplata-avansov-v-razmere-2-9-dlya-kogo-vozniklo-obyazatelstv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259" w:rsidRDefault="00123317" w:rsidP="0084403E">
      <w:pPr>
        <w:tabs>
          <w:tab w:val="left" w:pos="6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29" style="position:absolute;margin-left:450.3pt;margin-top:109.65pt;width:276pt;height:78.75pt;z-index:25166438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F7741" w:rsidRPr="006F4B24" w:rsidRDefault="005F7741" w:rsidP="00637D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4B24">
                    <w:rPr>
                      <w:rFonts w:ascii="Times New Roman" w:hAnsi="Times New Roman" w:cs="Times New Roman"/>
                      <w:b/>
                    </w:rPr>
                    <w:t>Реальный размер изменений средней начисленной заработной платы (с учетом инфляции) в 20</w:t>
                  </w:r>
                  <w:r w:rsidR="0017740A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B04973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6F4B24">
                    <w:rPr>
                      <w:rFonts w:ascii="Times New Roman" w:hAnsi="Times New Roman" w:cs="Times New Roman"/>
                      <w:b/>
                    </w:rPr>
                    <w:t xml:space="preserve"> г</w:t>
                  </w:r>
                  <w:r w:rsidR="00C9483D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6F4B24">
                    <w:rPr>
                      <w:rFonts w:ascii="Times New Roman" w:hAnsi="Times New Roman" w:cs="Times New Roman"/>
                      <w:b/>
                    </w:rPr>
                    <w:t xml:space="preserve"> по оценке составит </w:t>
                  </w:r>
                  <w:r w:rsidR="00B04973">
                    <w:rPr>
                      <w:rFonts w:ascii="Times New Roman" w:hAnsi="Times New Roman" w:cs="Times New Roman"/>
                      <w:b/>
                    </w:rPr>
                    <w:t>100,8</w:t>
                  </w:r>
                  <w:r w:rsidR="00637DAB" w:rsidRPr="006F4B24">
                    <w:rPr>
                      <w:rFonts w:ascii="Times New Roman" w:hAnsi="Times New Roman" w:cs="Times New Roman"/>
                      <w:b/>
                    </w:rPr>
                    <w:t xml:space="preserve">%, в прогнозируемом периоде достигнет </w:t>
                  </w:r>
                  <w:r w:rsidR="00C9483D">
                    <w:rPr>
                      <w:rFonts w:ascii="Times New Roman" w:hAnsi="Times New Roman" w:cs="Times New Roman"/>
                      <w:b/>
                    </w:rPr>
                    <w:t xml:space="preserve">уровня </w:t>
                  </w:r>
                  <w:r w:rsidR="00B04973">
                    <w:rPr>
                      <w:rFonts w:ascii="Times New Roman" w:hAnsi="Times New Roman" w:cs="Times New Roman"/>
                      <w:b/>
                    </w:rPr>
                    <w:t>103,6</w:t>
                  </w:r>
                  <w:r w:rsidR="00637DAB" w:rsidRPr="006F4B24"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xbxContent>
            </v:textbox>
          </v:roundrect>
        </w:pict>
      </w:r>
      <w:r w:rsidR="00C46EC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29275" cy="2647950"/>
            <wp:effectExtent l="57150" t="19050" r="9525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4403E">
        <w:rPr>
          <w:rFonts w:ascii="Times New Roman" w:hAnsi="Times New Roman" w:cs="Times New Roman"/>
        </w:rPr>
        <w:tab/>
      </w:r>
    </w:p>
    <w:p w:rsidR="005F7741" w:rsidRDefault="00123317" w:rsidP="0084403E">
      <w:pPr>
        <w:tabs>
          <w:tab w:val="left" w:pos="6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1" style="position:absolute;margin-left:34.8pt;margin-top:4pt;width:292.5pt;height:73.5pt;z-index:25166643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C65DA" w:rsidRPr="007C65DA" w:rsidRDefault="007C65DA" w:rsidP="007C65DA">
                  <w:pPr>
                    <w:jc w:val="center"/>
                    <w:rPr>
                      <w:b/>
                    </w:rPr>
                  </w:pPr>
                  <w:r w:rsidRPr="006F4B24">
                    <w:rPr>
                      <w:rFonts w:ascii="Times New Roman" w:hAnsi="Times New Roman" w:cs="Times New Roman"/>
                      <w:b/>
                    </w:rPr>
                    <w:t>В 20</w:t>
                  </w:r>
                  <w:r w:rsidR="006C5EF1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B04973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6F4B24">
                    <w:rPr>
                      <w:rFonts w:ascii="Times New Roman" w:hAnsi="Times New Roman" w:cs="Times New Roman"/>
                      <w:b/>
                    </w:rPr>
                    <w:t>-20</w:t>
                  </w:r>
                  <w:r w:rsidR="0017740A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B04973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6F4B24">
                    <w:rPr>
                      <w:rFonts w:ascii="Times New Roman" w:hAnsi="Times New Roman" w:cs="Times New Roman"/>
                      <w:b/>
                    </w:rPr>
                    <w:t xml:space="preserve"> годах прогнозируется </w:t>
                  </w:r>
                  <w:r w:rsidR="0017740A">
                    <w:rPr>
                      <w:rFonts w:ascii="Times New Roman" w:hAnsi="Times New Roman" w:cs="Times New Roman"/>
                      <w:b/>
                    </w:rPr>
                    <w:t>сохранение</w:t>
                  </w:r>
                  <w:r w:rsidRPr="006F4B24">
                    <w:rPr>
                      <w:rFonts w:ascii="Times New Roman" w:hAnsi="Times New Roman" w:cs="Times New Roman"/>
                      <w:b/>
                    </w:rPr>
                    <w:t xml:space="preserve"> сводного индекса потребительских цен за счет роста предложения товаров и услуг российских производителей </w:t>
                  </w:r>
                </w:p>
              </w:txbxContent>
            </v:textbox>
          </v:roundrect>
        </w:pict>
      </w:r>
    </w:p>
    <w:p w:rsidR="005F7741" w:rsidRDefault="00A96F3B" w:rsidP="0017740A">
      <w:pPr>
        <w:tabs>
          <w:tab w:val="left" w:pos="6090"/>
        </w:tabs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710565</wp:posOffset>
            </wp:positionV>
            <wp:extent cx="3305175" cy="1975282"/>
            <wp:effectExtent l="19050" t="0" r="9525" b="0"/>
            <wp:wrapNone/>
            <wp:docPr id="17" name="Рисунок 5" descr="https://pbs.twimg.com/media/E6QqT_HXMAEUE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E6QqT_HXMAEUE_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7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D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05375" cy="2571750"/>
            <wp:effectExtent l="57150" t="1905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15452" w:type="dxa"/>
        <w:tblInd w:w="-318" w:type="dxa"/>
        <w:tblLayout w:type="fixed"/>
        <w:tblLook w:val="04A0"/>
      </w:tblPr>
      <w:tblGrid>
        <w:gridCol w:w="9640"/>
        <w:gridCol w:w="1276"/>
        <w:gridCol w:w="1134"/>
        <w:gridCol w:w="1134"/>
        <w:gridCol w:w="1134"/>
        <w:gridCol w:w="1134"/>
      </w:tblGrid>
      <w:tr w:rsidR="00A96F3B" w:rsidRPr="002B6B52" w:rsidTr="007B3EAD">
        <w:trPr>
          <w:trHeight w:val="315"/>
          <w:tblHeader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3B" w:rsidRPr="002B6B52" w:rsidRDefault="00A96F3B" w:rsidP="0036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3B" w:rsidRPr="002B6B52" w:rsidRDefault="00A96F3B" w:rsidP="001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1648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F3B" w:rsidRDefault="00A96F3B" w:rsidP="000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1648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 </w:t>
            </w:r>
          </w:p>
          <w:p w:rsidR="00A96F3B" w:rsidRPr="002B6B52" w:rsidRDefault="00A96F3B" w:rsidP="000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3B" w:rsidRPr="002B6B52" w:rsidRDefault="00A96F3B" w:rsidP="001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1648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F3B" w:rsidRPr="002B6B52" w:rsidRDefault="00A96F3B" w:rsidP="001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1648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F3B" w:rsidRPr="002B6B52" w:rsidRDefault="00A96F3B" w:rsidP="001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1648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 прогноз</w:t>
            </w:r>
          </w:p>
        </w:tc>
      </w:tr>
      <w:tr w:rsidR="00A96F3B" w:rsidRPr="002B6B52" w:rsidTr="00F44C00">
        <w:trPr>
          <w:trHeight w:val="315"/>
          <w:tblHeader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2B6B52" w:rsidRDefault="00A96F3B" w:rsidP="0036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3B" w:rsidRPr="002B6B52" w:rsidRDefault="00A96F3B" w:rsidP="000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F3B" w:rsidRPr="002B6B52" w:rsidRDefault="00A96F3B" w:rsidP="000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3B" w:rsidRPr="002B6B52" w:rsidRDefault="00A96F3B" w:rsidP="000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F3B" w:rsidRDefault="00A96F3B" w:rsidP="000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F3B" w:rsidRDefault="00A96F3B" w:rsidP="0036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96F3B" w:rsidRPr="002B6B52" w:rsidTr="00A96F3B">
        <w:trPr>
          <w:trHeight w:val="31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2B6B52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(среднегодовая), тыс.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8947A4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A96F3B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6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894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6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Default="00164862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Default="00A96F3B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</w:t>
            </w:r>
            <w:r w:rsidR="0016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A96F3B" w:rsidRPr="002B6B52" w:rsidTr="00A96F3B">
        <w:trPr>
          <w:trHeight w:val="31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2B6B52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Коэффициент естественного прироста населения, </w:t>
            </w:r>
            <w:r w:rsidRPr="002B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тыс.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8947A4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164862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A96F3B" w:rsidRPr="002B6B52" w:rsidTr="00A96F3B">
        <w:trPr>
          <w:trHeight w:val="31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2B6B52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Коэффициент механического прироста, </w:t>
            </w:r>
            <w:r w:rsidRPr="002B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2B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8947A4" w:rsidRDefault="00A96F3B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</w:t>
            </w:r>
            <w:r w:rsidR="0016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A96F3B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</w:t>
            </w:r>
            <w:r w:rsidR="0016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8947A4" w:rsidRDefault="00164862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A96F3B" w:rsidRPr="00B95C5E" w:rsidTr="00A96F3B">
        <w:trPr>
          <w:trHeight w:val="58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164862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130,66</w:t>
            </w:r>
          </w:p>
        </w:tc>
      </w:tr>
      <w:tr w:rsidR="00164862" w:rsidRPr="00B95C5E" w:rsidTr="00A96F3B">
        <w:trPr>
          <w:trHeight w:val="31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62" w:rsidRPr="00B95C5E" w:rsidRDefault="00164862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продукции сельского хозяйства,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62" w:rsidRPr="00164862" w:rsidRDefault="00164862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62" w:rsidRPr="00164862" w:rsidRDefault="00164862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62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4384,65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62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62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4769,8</w:t>
            </w:r>
          </w:p>
        </w:tc>
      </w:tr>
      <w:tr w:rsidR="00A96F3B" w:rsidRPr="00B95C5E" w:rsidTr="00A96F3B">
        <w:trPr>
          <w:trHeight w:val="6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работ, выполненных по виду экономической деятельности "Строительство",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164862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111,82</w:t>
            </w:r>
          </w:p>
        </w:tc>
      </w:tr>
      <w:tr w:rsidR="00A96F3B" w:rsidRPr="006151FE" w:rsidTr="00A96F3B">
        <w:trPr>
          <w:trHeight w:val="31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6151F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 в действие жилых домов, тыс. кв. м. в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6151F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6151F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6151F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6151F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6151FE" w:rsidRDefault="00164862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2,05</w:t>
            </w:r>
          </w:p>
        </w:tc>
      </w:tr>
      <w:tr w:rsidR="00164862" w:rsidRPr="00B95C5E" w:rsidTr="008F3BC5">
        <w:trPr>
          <w:trHeight w:val="6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62" w:rsidRPr="00B95C5E" w:rsidRDefault="00164862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Оборот розничной торговли, общественного питания и платных услуг населению, </w:t>
            </w:r>
            <w:bookmarkStart w:id="0" w:name="OLE_LINK4"/>
            <w:bookmarkStart w:id="1" w:name="OLE_LINK5"/>
            <w:bookmarkStart w:id="2" w:name="OLE_LINK6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млн. руб. (в ценах соответствующих лет)</w:t>
            </w:r>
            <w:bookmarkEnd w:id="0"/>
            <w:bookmarkEnd w:id="1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62" w:rsidRPr="00164862" w:rsidRDefault="00164862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62" w:rsidRPr="00164862" w:rsidRDefault="00164862" w:rsidP="001648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62" w:rsidRPr="00A96F3B" w:rsidRDefault="00164862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62" w:rsidRPr="00A96F3B" w:rsidRDefault="00164862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62" w:rsidRPr="00A96F3B" w:rsidRDefault="00164862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1208,29</w:t>
            </w:r>
          </w:p>
        </w:tc>
      </w:tr>
      <w:tr w:rsidR="00A96F3B" w:rsidRPr="00B95C5E" w:rsidTr="00A96F3B">
        <w:trPr>
          <w:trHeight w:val="32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 субъектов малого и среднего предпринимательства,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8F3BC5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  <w:r w:rsidR="00A96F3B"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96F3B" w:rsidRPr="00B95C5E" w:rsidTr="00A96F3B">
        <w:trPr>
          <w:trHeight w:val="41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Оборот малых и средних предприятий, млн</w:t>
            </w:r>
            <w:proofErr w:type="gramStart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</w:t>
            </w:r>
            <w:r w:rsidR="00A96F3B"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8F3BC5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  <w:r w:rsidR="00A96F3B"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96F3B" w:rsidRPr="00B95C5E" w:rsidTr="00A96F3B">
        <w:trPr>
          <w:trHeight w:val="26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Инвестиции в основной капитал</w:t>
            </w:r>
            <w:bookmarkStart w:id="3" w:name="OLE_LINK7"/>
            <w:bookmarkStart w:id="4" w:name="OLE_LINK8"/>
            <w:bookmarkStart w:id="5" w:name="OLE_LINK9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млн. руб. (в ценах соответствующих лет)</w:t>
            </w:r>
            <w:bookmarkEnd w:id="3"/>
            <w:bookmarkEnd w:id="4"/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(!)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754,3</w:t>
            </w:r>
            <w:r w:rsidR="00A9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(!)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950,0</w:t>
            </w:r>
          </w:p>
        </w:tc>
      </w:tr>
      <w:tr w:rsidR="00A96F3B" w:rsidRPr="00B95C5E" w:rsidTr="00A96F3B">
        <w:trPr>
          <w:trHeight w:val="42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 в действие основных фондов, млн. руб. (в ценах соответствующих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450,00</w:t>
            </w:r>
          </w:p>
        </w:tc>
      </w:tr>
      <w:tr w:rsidR="008F3BC5" w:rsidRPr="00B95C5E" w:rsidTr="00A96F3B">
        <w:trPr>
          <w:trHeight w:val="27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C5" w:rsidRPr="00B95C5E" w:rsidRDefault="008F3BC5" w:rsidP="009A6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</w:t>
            </w:r>
            <w:bookmarkStart w:id="6" w:name="OLE_LINK12"/>
            <w:bookmarkStart w:id="7" w:name="OLE_LINK13"/>
            <w:bookmarkStart w:id="8" w:name="OLE_LINK14"/>
            <w:r w:rsidRPr="00B9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консолидированного бюджета Арзгирского муниципального </w:t>
            </w:r>
            <w:r w:rsidR="009A6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</w:t>
            </w:r>
            <w:r w:rsidRPr="00B9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а, 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млн. руб.</w:t>
            </w:r>
            <w:bookmarkEnd w:id="6"/>
            <w:bookmarkEnd w:id="7"/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C5" w:rsidRPr="008F3BC5" w:rsidRDefault="008F3BC5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C5" w:rsidRPr="008F3BC5" w:rsidRDefault="009A6C81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C5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C5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C5" w:rsidRPr="00B95C5E" w:rsidRDefault="008F3BC5" w:rsidP="00A96F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996,1</w:t>
            </w:r>
          </w:p>
        </w:tc>
      </w:tr>
      <w:tr w:rsidR="008F3BC5" w:rsidRPr="00B95C5E" w:rsidTr="00A96F3B">
        <w:trPr>
          <w:trHeight w:val="4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C5" w:rsidRPr="00B95C5E" w:rsidRDefault="008F3BC5" w:rsidP="009A6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консолидированного бюджета Арзгирского муниципального </w:t>
            </w:r>
            <w:r w:rsidR="009A6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</w:t>
            </w:r>
            <w:r w:rsidRPr="00B9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а, 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C5" w:rsidRPr="008F3BC5" w:rsidRDefault="008F3BC5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C5" w:rsidRPr="008F3BC5" w:rsidRDefault="008F3BC5" w:rsidP="008F3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B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A6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C5" w:rsidRPr="00B95C5E" w:rsidRDefault="009A6C81" w:rsidP="00A96F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C5" w:rsidRPr="00B95C5E" w:rsidRDefault="009A6C81" w:rsidP="009A6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C5" w:rsidRPr="00B95C5E" w:rsidRDefault="009A6C81" w:rsidP="009A6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996,1</w:t>
            </w:r>
          </w:p>
        </w:tc>
      </w:tr>
      <w:tr w:rsidR="00A96F3B" w:rsidRPr="00B95C5E" w:rsidTr="00A96F3B">
        <w:trPr>
          <w:trHeight w:val="27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Дефици</w:t>
            </w:r>
            <w:proofErr w:type="gramStart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т(</w:t>
            </w:r>
            <w:proofErr w:type="gramEnd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-), </w:t>
            </w:r>
            <w:proofErr w:type="spellStart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профицит</w:t>
            </w:r>
            <w:proofErr w:type="spellEnd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(+) консолидированного бюджета, млн.руб.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3B" w:rsidRPr="00B95C5E" w:rsidRDefault="009A6C81" w:rsidP="00A96F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A96F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5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9A6C81" w:rsidP="00A96F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A96F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5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A96F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5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A6C81" w:rsidRPr="00B95C5E" w:rsidTr="00A96F3B">
        <w:trPr>
          <w:trHeight w:val="31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Pr="00B95C5E" w:rsidRDefault="009A6C81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Денежные доходы населения,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B95C5E" w:rsidRDefault="009A6C81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1 892,45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B95C5E" w:rsidRDefault="009A6C81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1 921,53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B95C5E" w:rsidRDefault="009A6C81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B95C5E" w:rsidRDefault="009A6C81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B95C5E" w:rsidRDefault="009A6C81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1920,15</w:t>
            </w:r>
          </w:p>
        </w:tc>
      </w:tr>
      <w:tr w:rsidR="009A6C81" w:rsidRPr="00B95C5E" w:rsidTr="00A96F3B">
        <w:trPr>
          <w:trHeight w:val="31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Pr="00B95C5E" w:rsidRDefault="009A6C81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Среднедушевые денежные доходы, руб. в месяц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B95C5E" w:rsidRDefault="009A6C81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B95C5E" w:rsidRDefault="009A6C81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B95C5E" w:rsidRDefault="009A6C81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B95C5E" w:rsidRDefault="009A6C81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B95C5E" w:rsidRDefault="009A6C81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6500,0</w:t>
            </w:r>
          </w:p>
        </w:tc>
      </w:tr>
      <w:tr w:rsidR="00A96F3B" w:rsidRPr="00B95C5E" w:rsidTr="00A96F3B">
        <w:trPr>
          <w:trHeight w:val="6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населения с денежными доходами ниже величины прожиточного минимума, %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9A6C81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  <w:r w:rsidR="00A96F3B"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9A6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A6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9A6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A6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A96F3B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A96F3B" w:rsidRPr="00B95C5E" w:rsidTr="00A96F3B">
        <w:trPr>
          <w:trHeight w:val="27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Прожиточный минимум,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B95C5E" w:rsidRDefault="009A6C81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9A6C81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245DD0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245DD0" w:rsidP="00245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B95C5E" w:rsidRDefault="00245DD0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13500</w:t>
            </w:r>
            <w:r w:rsidR="002D5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245DD0" w:rsidRPr="00B95C5E" w:rsidTr="00A96F3B">
        <w:trPr>
          <w:trHeight w:val="31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0" w:rsidRPr="00B95C5E" w:rsidRDefault="00245DD0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населения, млн</w:t>
            </w:r>
            <w:proofErr w:type="gramStart"/>
            <w:r w:rsidRPr="00B9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B9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0" w:rsidRPr="00B95C5E" w:rsidRDefault="00245DD0" w:rsidP="002D5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D0" w:rsidRPr="00B95C5E" w:rsidRDefault="00245DD0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D0" w:rsidRPr="00B95C5E" w:rsidRDefault="00245DD0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D0" w:rsidRPr="00B95C5E" w:rsidRDefault="00245DD0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D0" w:rsidRPr="00B95C5E" w:rsidRDefault="00245DD0" w:rsidP="002D5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245DD0" w:rsidRPr="00B95C5E" w:rsidTr="00A96F3B">
        <w:trPr>
          <w:trHeight w:val="36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D0" w:rsidRPr="00B95C5E" w:rsidRDefault="00245DD0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Превышение доходов над расходами (+), или расходов над доходами (-), млн</w:t>
            </w:r>
            <w:proofErr w:type="gramStart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D0" w:rsidRPr="00B95C5E" w:rsidRDefault="00245DD0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D0" w:rsidRPr="00B95C5E" w:rsidRDefault="00245DD0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D0" w:rsidRPr="00B95C5E" w:rsidRDefault="00245DD0" w:rsidP="001D67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D0" w:rsidRPr="00B95C5E" w:rsidRDefault="00245DD0" w:rsidP="002D5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D0" w:rsidRPr="00B95C5E" w:rsidRDefault="00245DD0" w:rsidP="002D5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96F3B" w:rsidRPr="002B6B52" w:rsidTr="00A96F3B">
        <w:trPr>
          <w:trHeight w:val="31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3B" w:rsidRPr="002B6B52" w:rsidRDefault="00A96F3B" w:rsidP="003644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6B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зарегистрированной безработицы (на конец года),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3B" w:rsidRPr="002B6B52" w:rsidRDefault="00245DD0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2B6B52" w:rsidRDefault="00A96F3B" w:rsidP="002D5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</w:t>
            </w:r>
            <w:r w:rsidR="002D5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Pr="002B6B52" w:rsidRDefault="002D5F3D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Default="002D5F3D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3B" w:rsidRDefault="002D5F3D" w:rsidP="00A96F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</w:tbl>
    <w:p w:rsidR="007B3EAD" w:rsidRPr="0084403E" w:rsidRDefault="007B3EAD" w:rsidP="00D841A4">
      <w:pPr>
        <w:tabs>
          <w:tab w:val="left" w:pos="6090"/>
        </w:tabs>
        <w:jc w:val="right"/>
        <w:rPr>
          <w:rFonts w:ascii="Times New Roman" w:hAnsi="Times New Roman" w:cs="Times New Roman"/>
        </w:rPr>
      </w:pPr>
    </w:p>
    <w:sectPr w:rsidR="007B3EAD" w:rsidRPr="0084403E" w:rsidSect="00DF27C2">
      <w:headerReference w:type="default" r:id="rId17"/>
      <w:pgSz w:w="16838" w:h="11906" w:orient="landscape"/>
      <w:pgMar w:top="1276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3F" w:rsidRDefault="0005133F" w:rsidP="00551259">
      <w:pPr>
        <w:spacing w:after="0" w:line="240" w:lineRule="auto"/>
      </w:pPr>
      <w:r>
        <w:separator/>
      </w:r>
    </w:p>
  </w:endnote>
  <w:endnote w:type="continuationSeparator" w:id="1">
    <w:p w:rsidR="0005133F" w:rsidRDefault="0005133F" w:rsidP="0055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3F" w:rsidRDefault="0005133F" w:rsidP="00551259">
      <w:pPr>
        <w:spacing w:after="0" w:line="240" w:lineRule="auto"/>
      </w:pPr>
      <w:r>
        <w:separator/>
      </w:r>
    </w:p>
  </w:footnote>
  <w:footnote w:type="continuationSeparator" w:id="1">
    <w:p w:rsidR="0005133F" w:rsidRDefault="0005133F" w:rsidP="0055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59" w:rsidRPr="00551259" w:rsidRDefault="00551259" w:rsidP="00551259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551259">
      <w:rPr>
        <w:rFonts w:ascii="Times New Roman" w:hAnsi="Times New Roman" w:cs="Times New Roman"/>
        <w:b/>
        <w:sz w:val="24"/>
        <w:szCs w:val="24"/>
      </w:rPr>
      <w:t xml:space="preserve">Основные показатели развития экономики Арзгирского муниципального </w:t>
    </w:r>
    <w:r w:rsidR="009A6C81">
      <w:rPr>
        <w:rFonts w:ascii="Times New Roman" w:hAnsi="Times New Roman" w:cs="Times New Roman"/>
        <w:b/>
        <w:sz w:val="24"/>
        <w:szCs w:val="24"/>
      </w:rPr>
      <w:t>округ</w:t>
    </w:r>
    <w:r w:rsidRPr="00551259">
      <w:rPr>
        <w:rFonts w:ascii="Times New Roman" w:hAnsi="Times New Roman" w:cs="Times New Roman"/>
        <w:b/>
        <w:sz w:val="24"/>
        <w:szCs w:val="24"/>
      </w:rPr>
      <w:t>а Ставропольского края на период 20</w:t>
    </w:r>
    <w:r w:rsidR="00CF759B">
      <w:rPr>
        <w:rFonts w:ascii="Times New Roman" w:hAnsi="Times New Roman" w:cs="Times New Roman"/>
        <w:b/>
        <w:sz w:val="24"/>
        <w:szCs w:val="24"/>
      </w:rPr>
      <w:t>2</w:t>
    </w:r>
    <w:r w:rsidR="001D34B0">
      <w:rPr>
        <w:rFonts w:ascii="Times New Roman" w:hAnsi="Times New Roman" w:cs="Times New Roman"/>
        <w:b/>
        <w:sz w:val="24"/>
        <w:szCs w:val="24"/>
      </w:rPr>
      <w:t>3</w:t>
    </w:r>
    <w:r w:rsidRPr="00551259">
      <w:rPr>
        <w:rFonts w:ascii="Times New Roman" w:hAnsi="Times New Roman" w:cs="Times New Roman"/>
        <w:b/>
        <w:sz w:val="24"/>
        <w:szCs w:val="24"/>
      </w:rPr>
      <w:t>-202</w:t>
    </w:r>
    <w:r w:rsidR="001D34B0">
      <w:rPr>
        <w:rFonts w:ascii="Times New Roman" w:hAnsi="Times New Roman" w:cs="Times New Roman"/>
        <w:b/>
        <w:sz w:val="24"/>
        <w:szCs w:val="24"/>
      </w:rPr>
      <w:t>5</w:t>
    </w:r>
    <w:r w:rsidRPr="00551259">
      <w:rPr>
        <w:rFonts w:ascii="Times New Roman" w:hAnsi="Times New Roman" w:cs="Times New Roman"/>
        <w:b/>
        <w:sz w:val="24"/>
        <w:szCs w:val="24"/>
      </w:rPr>
      <w:t xml:space="preserve"> гг.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E7F"/>
    <w:multiLevelType w:val="hybridMultilevel"/>
    <w:tmpl w:val="5BEA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D93"/>
    <w:rsid w:val="0005133F"/>
    <w:rsid w:val="000841A2"/>
    <w:rsid w:val="000C0BC6"/>
    <w:rsid w:val="000C7D04"/>
    <w:rsid w:val="000E0EF9"/>
    <w:rsid w:val="00123317"/>
    <w:rsid w:val="00143680"/>
    <w:rsid w:val="00164862"/>
    <w:rsid w:val="0017740A"/>
    <w:rsid w:val="001D34B0"/>
    <w:rsid w:val="00201D93"/>
    <w:rsid w:val="00207666"/>
    <w:rsid w:val="002148CC"/>
    <w:rsid w:val="00245DD0"/>
    <w:rsid w:val="002B6B52"/>
    <w:rsid w:val="002D5F3D"/>
    <w:rsid w:val="002D61CC"/>
    <w:rsid w:val="003C03E7"/>
    <w:rsid w:val="00405112"/>
    <w:rsid w:val="00432669"/>
    <w:rsid w:val="00442226"/>
    <w:rsid w:val="004A1084"/>
    <w:rsid w:val="004C2A75"/>
    <w:rsid w:val="00517876"/>
    <w:rsid w:val="00537590"/>
    <w:rsid w:val="00551259"/>
    <w:rsid w:val="005C4946"/>
    <w:rsid w:val="005F7741"/>
    <w:rsid w:val="006151FE"/>
    <w:rsid w:val="00637DAB"/>
    <w:rsid w:val="00665D36"/>
    <w:rsid w:val="00680668"/>
    <w:rsid w:val="006C5EF1"/>
    <w:rsid w:val="006F4B24"/>
    <w:rsid w:val="007254B6"/>
    <w:rsid w:val="00743487"/>
    <w:rsid w:val="00766201"/>
    <w:rsid w:val="007B3EAD"/>
    <w:rsid w:val="007C65DA"/>
    <w:rsid w:val="0084403E"/>
    <w:rsid w:val="008509B1"/>
    <w:rsid w:val="00882F27"/>
    <w:rsid w:val="008B684F"/>
    <w:rsid w:val="008F3BC5"/>
    <w:rsid w:val="009177E7"/>
    <w:rsid w:val="009A6C81"/>
    <w:rsid w:val="009D1928"/>
    <w:rsid w:val="00A96F3B"/>
    <w:rsid w:val="00AB39F1"/>
    <w:rsid w:val="00B03766"/>
    <w:rsid w:val="00B04973"/>
    <w:rsid w:val="00B20C02"/>
    <w:rsid w:val="00B223C9"/>
    <w:rsid w:val="00B7437E"/>
    <w:rsid w:val="00B95C5E"/>
    <w:rsid w:val="00C20DA3"/>
    <w:rsid w:val="00C46EC1"/>
    <w:rsid w:val="00C9483D"/>
    <w:rsid w:val="00CF759B"/>
    <w:rsid w:val="00D00185"/>
    <w:rsid w:val="00D32617"/>
    <w:rsid w:val="00D57037"/>
    <w:rsid w:val="00D8080B"/>
    <w:rsid w:val="00D841A4"/>
    <w:rsid w:val="00DA5D01"/>
    <w:rsid w:val="00DB77B1"/>
    <w:rsid w:val="00DC1ABB"/>
    <w:rsid w:val="00DF109D"/>
    <w:rsid w:val="00DF27C2"/>
    <w:rsid w:val="00E67320"/>
    <w:rsid w:val="00E864C9"/>
    <w:rsid w:val="00F505F3"/>
    <w:rsid w:val="00F534CB"/>
    <w:rsid w:val="00F831A2"/>
    <w:rsid w:val="00F950EC"/>
    <w:rsid w:val="00FC3DE4"/>
    <w:rsid w:val="00FE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259"/>
  </w:style>
  <w:style w:type="paragraph" w:styleId="a6">
    <w:name w:val="footer"/>
    <w:basedOn w:val="a"/>
    <w:link w:val="a7"/>
    <w:uiPriority w:val="99"/>
    <w:semiHidden/>
    <w:unhideWhenUsed/>
    <w:rsid w:val="0055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1259"/>
  </w:style>
  <w:style w:type="paragraph" w:styleId="a8">
    <w:name w:val="Balloon Text"/>
    <w:basedOn w:val="a"/>
    <w:link w:val="a9"/>
    <w:uiPriority w:val="99"/>
    <w:semiHidden/>
    <w:unhideWhenUsed/>
    <w:rsid w:val="0055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3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6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title>
      <c:layout/>
    </c:title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Валовый муниципальный продукт, млн.руб.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Лист1!$B$2:$B$6</c:f>
              <c:numCache>
                <c:formatCode>0.00</c:formatCode>
                <c:ptCount val="5"/>
                <c:pt idx="0">
                  <c:v>5850</c:v>
                </c:pt>
                <c:pt idx="1">
                  <c:v>6003</c:v>
                </c:pt>
                <c:pt idx="2">
                  <c:v>6136</c:v>
                </c:pt>
                <c:pt idx="3">
                  <c:v>6276</c:v>
                </c:pt>
                <c:pt idx="4">
                  <c:v>6349.2</c:v>
                </c:pt>
              </c:numCache>
            </c:numRef>
          </c:val>
          <c:bubble3D val="1"/>
        </c:ser>
        <c:gapWidth val="75"/>
        <c:shape val="cylinder"/>
        <c:axId val="80529664"/>
        <c:axId val="85985152"/>
        <c:axId val="0"/>
      </c:bar3DChart>
      <c:catAx>
        <c:axId val="80529664"/>
        <c:scaling>
          <c:orientation val="minMax"/>
        </c:scaling>
        <c:axPos val="b"/>
        <c:numFmt formatCode="General" sourceLinked="1"/>
        <c:majorTickMark val="none"/>
        <c:tickLblPos val="nextTo"/>
        <c:crossAx val="85985152"/>
        <c:crosses val="autoZero"/>
        <c:auto val="1"/>
        <c:lblAlgn val="ctr"/>
        <c:lblOffset val="100"/>
      </c:catAx>
      <c:valAx>
        <c:axId val="85985152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spPr>
          <a:ln w="9525">
            <a:noFill/>
          </a:ln>
        </c:spPr>
        <c:crossAx val="80529664"/>
        <c:crosses val="autoZero"/>
        <c:crossBetween val="between"/>
      </c:valAx>
    </c:plotArea>
    <c:plotVisOnly val="1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AngAx val="1"/>
    </c:view3D>
    <c:plotArea>
      <c:layout>
        <c:manualLayout>
          <c:layoutTarget val="inner"/>
          <c:xMode val="edge"/>
          <c:yMode val="edge"/>
          <c:x val="0.11338144471071551"/>
          <c:y val="0.10665668325201687"/>
          <c:w val="0.8866185476815398"/>
          <c:h val="0.6950575656570535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Ввод в действие жилых домов, тыс.кв.м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1.68</c:v>
                </c:pt>
                <c:pt idx="1">
                  <c:v>1.7</c:v>
                </c:pt>
                <c:pt idx="2">
                  <c:v>1.72</c:v>
                </c:pt>
                <c:pt idx="3">
                  <c:v>1.75</c:v>
                </c:pt>
                <c:pt idx="4">
                  <c:v>1.78</c:v>
                </c:pt>
              </c:numCache>
            </c:numRef>
          </c:val>
          <c:shape val="pyramid"/>
        </c:ser>
        <c:shape val="cone"/>
        <c:axId val="102655104"/>
        <c:axId val="102657024"/>
        <c:axId val="0"/>
      </c:bar3DChart>
      <c:catAx>
        <c:axId val="102655104"/>
        <c:scaling>
          <c:orientation val="minMax"/>
        </c:scaling>
        <c:axPos val="b"/>
        <c:numFmt formatCode="General" sourceLinked="1"/>
        <c:tickLblPos val="nextTo"/>
        <c:crossAx val="102657024"/>
        <c:crosses val="autoZero"/>
        <c:auto val="1"/>
        <c:lblAlgn val="ctr"/>
        <c:lblOffset val="100"/>
      </c:catAx>
      <c:valAx>
        <c:axId val="102657024"/>
        <c:scaling>
          <c:orientation val="minMax"/>
        </c:scaling>
        <c:axPos val="l"/>
        <c:majorGridlines/>
        <c:numFmt formatCode="General" sourceLinked="1"/>
        <c:tickLblPos val="nextTo"/>
        <c:crossAx val="102655104"/>
        <c:crosses val="autoZero"/>
        <c:crossBetween val="between"/>
      </c:valAx>
    </c:plotArea>
    <c:plotVisOnly val="1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area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gradFill flip="none" rotWithShape="1">
              <a:gsLst>
                <a:gs pos="0">
                  <a:srgbClr val="8064A2">
                    <a:lumMod val="75000"/>
                  </a:srgbClr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0" scaled="1"/>
              <a:tileRect/>
            </a:gradFill>
          </c:spPr>
          <c:dLbls>
            <c:dLbl>
              <c:idx val="0"/>
              <c:layout>
                <c:manualLayout>
                  <c:x val="2.9411764705882353E-2"/>
                  <c:y val="-0.11031175059952038"/>
                </c:manualLayout>
              </c:layout>
              <c:showVal val="1"/>
            </c:dLbl>
            <c:dLbl>
              <c:idx val="1"/>
              <c:layout>
                <c:manualLayout>
                  <c:x val="-7.3529411764705881E-3"/>
                  <c:y val="-0.1247002398081538"/>
                </c:manualLayout>
              </c:layout>
              <c:showVal val="1"/>
            </c:dLbl>
            <c:dLbl>
              <c:idx val="2"/>
              <c:layout>
                <c:manualLayout>
                  <c:x val="-1.9607843137254902E-2"/>
                  <c:y val="-0.15347721822541971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0.20623501199040811"/>
                </c:manualLayout>
              </c:layout>
              <c:showVal val="1"/>
            </c:dLbl>
            <c:dLbl>
              <c:idx val="4"/>
              <c:layout>
                <c:manualLayout>
                  <c:x val="-2.4509803921568631E-3"/>
                  <c:y val="-0.24460431654676329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30169.8</c:v>
                </c:pt>
                <c:pt idx="1">
                  <c:v>33771.699999999997</c:v>
                </c:pt>
                <c:pt idx="2">
                  <c:v>34041.870000000003</c:v>
                </c:pt>
                <c:pt idx="3">
                  <c:v>34145</c:v>
                </c:pt>
                <c:pt idx="4">
                  <c:v>34683.47</c:v>
                </c:pt>
              </c:numCache>
            </c:numRef>
          </c:val>
        </c:ser>
        <c:axId val="161515776"/>
        <c:axId val="80294272"/>
      </c:areaChart>
      <c:catAx>
        <c:axId val="161515776"/>
        <c:scaling>
          <c:orientation val="minMax"/>
        </c:scaling>
        <c:axPos val="b"/>
        <c:numFmt formatCode="General" sourceLinked="1"/>
        <c:tickLblPos val="nextTo"/>
        <c:crossAx val="80294272"/>
        <c:crosses val="autoZero"/>
        <c:auto val="1"/>
        <c:lblAlgn val="ctr"/>
        <c:lblOffset val="100"/>
      </c:catAx>
      <c:valAx>
        <c:axId val="80294272"/>
        <c:scaling>
          <c:orientation val="minMax"/>
        </c:scaling>
        <c:axPos val="l"/>
        <c:majorGridlines/>
        <c:numFmt formatCode="General" sourceLinked="1"/>
        <c:tickLblPos val="nextTo"/>
        <c:crossAx val="161515776"/>
        <c:crosses val="autoZero"/>
        <c:crossBetween val="midCat"/>
      </c:valAx>
    </c:plotArea>
    <c:plotVisOnly val="1"/>
  </c:chart>
  <c:spPr>
    <a:ln>
      <a:noFill/>
    </a:ln>
    <a:scene3d>
      <a:camera prst="orthographicFront"/>
      <a:lightRig rig="threePt" dir="t"/>
    </a:scene3d>
    <a:sp3d>
      <a:bevelT w="0" h="0"/>
      <a:bevelB/>
    </a:sp3d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Индекс потребительских цен,</a:t>
            </a:r>
          </a:p>
          <a:p>
            <a:pPr algn="ctr">
              <a:defRPr/>
            </a:pPr>
            <a:r>
              <a:rPr lang="ru-RU"/>
              <a:t>% на конец периода</a:t>
            </a:r>
          </a:p>
        </c:rich>
      </c:tx>
      <c:layout>
        <c:manualLayout>
          <c:xMode val="edge"/>
          <c:yMode val="edge"/>
          <c:x val="0.19778630583798423"/>
          <c:y val="4.9382716049382887E-2"/>
        </c:manualLayout>
      </c:layout>
    </c:title>
    <c:plotArea>
      <c:layout>
        <c:manualLayout>
          <c:layoutTarget val="inner"/>
          <c:xMode val="edge"/>
          <c:yMode val="edge"/>
          <c:x val="8.4105700379685566E-2"/>
          <c:y val="0.32618528239525746"/>
          <c:w val="0.85339591774329315"/>
          <c:h val="0.52329192184310291"/>
        </c:manualLayout>
      </c:layout>
      <c:area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потребительских цен, % на конец периода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0" scaled="0"/>
            </a:gradFill>
            <a:ln w="28575">
              <a:noFill/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</c:v>
                </c:pt>
                <c:pt idx="1">
                  <c:v>109.3</c:v>
                </c:pt>
                <c:pt idx="2">
                  <c:v>107.3</c:v>
                </c:pt>
                <c:pt idx="3">
                  <c:v>107</c:v>
                </c:pt>
                <c:pt idx="4">
                  <c:v>106</c:v>
                </c:pt>
              </c:numCache>
            </c:numRef>
          </c:val>
        </c:ser>
        <c:axId val="80343040"/>
        <c:axId val="80344576"/>
      </c:areaChart>
      <c:catAx>
        <c:axId val="80343040"/>
        <c:scaling>
          <c:orientation val="minMax"/>
        </c:scaling>
        <c:axPos val="b"/>
        <c:numFmt formatCode="General" sourceLinked="1"/>
        <c:tickLblPos val="nextTo"/>
        <c:crossAx val="80344576"/>
        <c:crosses val="autoZero"/>
        <c:auto val="1"/>
        <c:lblAlgn val="ctr"/>
        <c:lblOffset val="100"/>
      </c:catAx>
      <c:valAx>
        <c:axId val="80344576"/>
        <c:scaling>
          <c:orientation val="minMax"/>
        </c:scaling>
        <c:axPos val="l"/>
        <c:majorGridlines/>
        <c:numFmt formatCode="General" sourceLinked="1"/>
        <c:tickLblPos val="nextTo"/>
        <c:crossAx val="80343040"/>
        <c:crosses val="autoZero"/>
        <c:crossBetween val="midCat"/>
      </c:valAx>
      <c:spPr>
        <a:ln>
          <a:noFill/>
        </a:ln>
      </c:spPr>
    </c:plotArea>
    <c:plotVisOnly val="1"/>
  </c:chart>
  <c:spPr>
    <a:ln>
      <a:noFill/>
    </a:ln>
    <a:scene3d>
      <a:camera prst="orthographicFront"/>
      <a:lightRig rig="threePt" dir="t"/>
    </a:scene3d>
    <a:sp3d>
      <a:bevelT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</dc:creator>
  <cp:lastModifiedBy>Марина</cp:lastModifiedBy>
  <cp:revision>2</cp:revision>
  <cp:lastPrinted>2018-11-09T12:25:00Z</cp:lastPrinted>
  <dcterms:created xsi:type="dcterms:W3CDTF">2022-11-10T13:10:00Z</dcterms:created>
  <dcterms:modified xsi:type="dcterms:W3CDTF">2022-11-10T13:10:00Z</dcterms:modified>
</cp:coreProperties>
</file>